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8a72ce683dd94a6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FA40C70" w:rsidP="492ECB6A" w:rsidRDefault="5FA40C70" w14:paraId="2FF59826" w14:textId="00F62A90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492ECB6A" w:rsidR="5FA40C70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3. razredu srednje škole za školsku godinu 2020./2021.  </w:t>
      </w:r>
    </w:p>
    <w:p w:rsidR="5FA40C70" w:rsidP="492ECB6A" w:rsidRDefault="5FA40C70" w14:paraId="62B350C0" w14:textId="425259DE">
      <w:pPr>
        <w:pStyle w:val="Normal"/>
        <w:spacing w:line="240" w:lineRule="auto"/>
      </w:pPr>
      <w:r w:rsidRPr="492ECB6A" w:rsidR="5FA40C70">
        <w:rPr>
          <w:b w:val="1"/>
          <w:bCs w:val="1"/>
          <w:color w:val="2E75B5"/>
          <w:sz w:val="28"/>
          <w:szCs w:val="28"/>
        </w:rPr>
        <w:t xml:space="preserve"> </w:t>
      </w:r>
      <w:r w:rsidRPr="492ECB6A" w:rsidR="5FA40C70">
        <w:rPr>
          <w:b w:val="1"/>
          <w:bCs w:val="1"/>
          <w:color w:val="2E75B5"/>
          <w:sz w:val="28"/>
          <w:szCs w:val="28"/>
        </w:rPr>
        <w:t>(početnic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NAPOMENA: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Zbog frontalnog uvođenja Škole za život u 2. i 3. razrede srednjih škola dolazi do određenog nepodudaranja sadržaja predviđenog starim planom i programom i novim kurikulumom.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Stoga je u ovom kurikulumu prvo polugodište 3. razreda posvećeno čitanju Cicerona i Cezara, a drugo polugodište nudi izbor iz djela autora predviđenih novim kurikulumom za treći razred. Shodno tome i neki su ishodi preuzeti iz kurikuluma za 2. razred.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2850"/>
        <w:gridCol w:w="2850"/>
        <w:gridCol w:w="2850"/>
        <w:gridCol w:w="2744"/>
      </w:tblGrid>
      <w:tr xmlns:wp14="http://schemas.microsoft.com/office/word/2010/wordml" w:rsidTr="36E7BE3D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6E7BE3D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6E7BE3D" w14:paraId="27DEC52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686528599"/>
            <w:bookmarkEnd w:id="1686528599"/>
            <w:r w:rsidRPr="00000000" w:rsidDel="00000000" w:rsidR="00000000">
              <w:rPr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36E7BE3D" w14:paraId="49E19B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36E7BE3D" w14:paraId="650B47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/>
            </w:pPr>
            <w:bookmarkStart w:name="_heading=h.jwgmy05umkk1" w:colFirst="0" w:colLast="0" w:id="1"/>
            <w:bookmarkEnd w:id="1"/>
            <w:r w:rsidRPr="00000000" w:rsidDel="00000000" w:rsidR="00000000">
              <w:rPr>
                <w:rtl w:val="0"/>
              </w:rPr>
              <w:t xml:space="preserve">Povijesni i književni kontekst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Ciceronovog doba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Braća Grakho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5E438DA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4D" wp14:textId="543E8815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proofErr w:type="spellStart"/>
            <w:r w:rsidR="00000000">
              <w:rPr/>
              <w:t>Salustije</w:t>
            </w:r>
            <w:proofErr w:type="spellEnd"/>
            <w:r w:rsidR="00000000">
              <w:rPr/>
              <w:t xml:space="preserve"> </w:t>
            </w:r>
            <w:r w:rsidR="0EDA5AEE">
              <w:rPr/>
              <w:t>- Jugurta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7429F8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Suli i Mariju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36D7934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– Katilina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6E7BE3D" w14:paraId="226FEC6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1932864B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4B2CAD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36E7BE3D" w14:paraId="564214C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Gallico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7B27E31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C5" wp14:textId="47F47D71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</w:t>
            </w:r>
            <w:r w:rsidR="05513B34">
              <w:rPr/>
              <w:t>civili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36E7BE3D" w14:paraId="5628CDA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F3F8D07">
            <w:pPr>
              <w:spacing w:after="0" w:line="240" w:lineRule="auto"/>
              <w:jc w:val="center"/>
            </w:pPr>
            <w:r w:rsidR="24AA546D">
              <w:rPr/>
              <w:t>Republika na zalazu</w:t>
            </w:r>
          </w:p>
          <w:p w:rsidRPr="00000000" w:rsidR="00000000" w:rsidDel="00000000" w:rsidP="00000000" w:rsidRDefault="00000000" wp14:textId="77777777" w14:paraId="7A674A30">
            <w:pPr>
              <w:spacing w:after="0" w:line="240" w:lineRule="auto"/>
              <w:jc w:val="center"/>
            </w:pPr>
            <w:r w:rsidR="24AA546D">
              <w:rPr/>
              <w:t>npr. Ciceron – retorika i filozofija</w:t>
            </w:r>
          </w:p>
          <w:p w:rsidRPr="00000000" w:rsidR="00000000" w:rsidDel="00000000" w:rsidP="36E7BE3D" w:rsidRDefault="00000000" w14:paraId="000000D9" wp14:textId="707AC6B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36E7BE3D" w14:paraId="038F72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retorika i filozofija</w:t>
            </w:r>
          </w:p>
        </w:tc>
      </w:tr>
      <w:tr xmlns:wp14="http://schemas.microsoft.com/office/word/2010/wordml" w:rsidTr="36E7BE3D" w14:paraId="2C23E5F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</w:tc>
      </w:tr>
      <w:tr xmlns:wp14="http://schemas.microsoft.com/office/word/2010/wordml" w:rsidTr="36E7BE3D" w14:paraId="26B5468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36E7BE3D" w14:paraId="03E7978E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latinskom</w:t>
            </w:r>
          </w:p>
        </w:tc>
      </w:tr>
      <w:tr xmlns:wp14="http://schemas.microsoft.com/office/word/2010/wordml" w:rsidTr="36E7BE3D" w14:paraId="1FDA82B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36E7BE3D" w14:paraId="01D6E1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Augustovo doba rimske književnosti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Povijesne prilike</w:t>
            </w:r>
          </w:p>
        </w:tc>
      </w:tr>
      <w:tr xmlns:wp14="http://schemas.microsoft.com/office/word/2010/wordml" w:rsidTr="36E7BE3D" w14:paraId="3D3CC4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Augustovo podrijetlo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Livije o Troji</w:t>
            </w:r>
          </w:p>
        </w:tc>
      </w:tr>
      <w:tr xmlns:wp14="http://schemas.microsoft.com/office/word/2010/wordml" w:rsidTr="36E7BE3D" w14:paraId="38E0582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Augustovo podrijetlo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36E7BE3D" w14:paraId="2CDBF23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Augustovo podrijetlo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2"/>
            <w:bookmarkEnd w:id="2"/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36E7BE3D" w14:paraId="35A868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Augustovo podrijetlo</w:t>
            </w:r>
          </w:p>
          <w:p w:rsidRPr="00000000" w:rsidR="00000000" w:rsidDel="00000000" w:rsidP="00000000" w:rsidRDefault="00000000" w14:paraId="0000017C" wp14:textId="43D76CC2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r w:rsidR="4843694A">
              <w:rPr/>
              <w:t>Vergilijeva Eneida</w:t>
            </w:r>
          </w:p>
        </w:tc>
      </w:tr>
      <w:tr xmlns:wp14="http://schemas.microsoft.com/office/word/2010/wordml" w:rsidTr="36E7BE3D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6E7BE3D" w14:paraId="03DFD7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36E7BE3D" w14:paraId="3CCF5B8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Augustovi pjesnici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 - Bucolica i Georgica</w:t>
            </w:r>
          </w:p>
        </w:tc>
      </w:tr>
      <w:tr xmlns:wp14="http://schemas.microsoft.com/office/word/2010/wordml" w:rsidTr="36E7BE3D" w14:paraId="4E336AF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Augustovi pjesnici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:rsidTr="36E7BE3D" w14:paraId="502912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Augustovi pjesnici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:rsidTr="36E7BE3D" w14:paraId="7D8986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Augustovi pjesnici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 (elegije)</w:t>
            </w:r>
          </w:p>
        </w:tc>
      </w:tr>
      <w:tr xmlns:wp14="http://schemas.microsoft.com/office/word/2010/wordml" w:rsidTr="36E7BE3D" w14:paraId="26286E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Augustovi pjesnici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 (elegije)</w:t>
            </w:r>
          </w:p>
        </w:tc>
      </w:tr>
      <w:tr xmlns:wp14="http://schemas.microsoft.com/office/word/2010/wordml" w:rsidTr="36E7BE3D" w14:paraId="50C4C37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74EE7A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3D0F1F9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36E7BE3D" w14:paraId="06D783A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4011FE7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135C2BF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47184D9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36E7BE3D" w14:paraId="76E9E97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36E7BE3D" w14:paraId="225831B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6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D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AE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66D623"/>
  <w15:docId w15:val="{eeb9d0b0-aab6-46f0-9fb3-61d2bc2f72ee}"/>
  <w:rsids>
    <w:rsidRoot w:val="4B8A9212"/>
    <w:rsid w:val="00000000"/>
    <w:rsid w:val="05513B34"/>
    <w:rsid w:val="0B0D8EED"/>
    <w:rsid w:val="0EDA5AEE"/>
    <w:rsid w:val="1BF7F459"/>
    <w:rsid w:val="24AA546D"/>
    <w:rsid w:val="36E7BE3D"/>
    <w:rsid w:val="4843694A"/>
    <w:rsid w:val="492ECB6A"/>
    <w:rsid w:val="4B8A9212"/>
    <w:rsid w:val="5FA40C70"/>
    <w:rsid w:val="7EDDB81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F6p/hwafq8OdPqsJawIOruyNw==">AMUW2mVuIwr/tzc6ig0sM0zJBClwyZVR5vJqkLyPV+zjCI74r0bcAfI8PPJZc17AdhY4LRTmetU+VVViEvBYE/0d6U9/i7IdVfyILEMflqzrDjm8K56pMf8y95v/BFCxcfECsfDhz2xdllZJHjUs3pYDSBgqHSfghA==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1599C96-0AEA-4CEC-BF21-24BB41BE32FB}"/>
</file>

<file path=customXML/itemProps3.xml><?xml version="1.0" encoding="utf-8"?>
<ds:datastoreItem xmlns:ds="http://schemas.openxmlformats.org/officeDocument/2006/customXml" ds:itemID="{D5627222-2BD6-4F78-9660-32C86FBE0EF7}"/>
</file>

<file path=customXML/itemProps4.xml><?xml version="1.0" encoding="utf-8"?>
<ds:datastoreItem xmlns:ds="http://schemas.openxmlformats.org/officeDocument/2006/customXml" ds:itemID="{531A82C4-5ACE-402C-94B8-615E9909C18F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2020-08-30T12:20:00Z</dcterms:created>
  <dcterms:modified xsi:type="dcterms:W3CDTF">2020-09-30T11:11:13Z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